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0CBE" w14:textId="77777777" w:rsidR="007F07E5" w:rsidRDefault="00EE79C7" w:rsidP="007F07E5">
      <w:pPr>
        <w:jc w:val="center"/>
        <w:rPr>
          <w:b/>
          <w:sz w:val="36"/>
          <w:szCs w:val="36"/>
        </w:rPr>
      </w:pPr>
      <w:r w:rsidRPr="00EE79C7">
        <w:rPr>
          <w:rFonts w:ascii="Calibri" w:eastAsia="Calibri" w:hAnsi="Calibri" w:cs="Times New Roman"/>
          <w:b/>
          <w:bCs/>
          <w:noProof/>
          <w:sz w:val="32"/>
          <w:szCs w:val="32"/>
          <w:lang w:eastAsia="en-GB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8857F85" wp14:editId="37489B4D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31620" cy="960120"/>
            <wp:effectExtent l="0" t="0" r="0" b="0"/>
            <wp:wrapTight wrapText="bothSides">
              <wp:wrapPolygon edited="0">
                <wp:start x="0" y="0"/>
                <wp:lineTo x="0" y="21000"/>
                <wp:lineTo x="21224" y="21000"/>
                <wp:lineTo x="21224" y="0"/>
                <wp:lineTo x="0" y="0"/>
              </wp:wrapPolygon>
            </wp:wrapTight>
            <wp:docPr id="1857038178" name="Picture 1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38178" name="Picture 1" descr="A logo for a commun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06556" w14:textId="25685D8F" w:rsidR="00932C59" w:rsidRPr="007F07E5" w:rsidRDefault="000E3A55" w:rsidP="007F07E5">
      <w:pPr>
        <w:jc w:val="center"/>
        <w:rPr>
          <w:b/>
          <w:sz w:val="36"/>
          <w:szCs w:val="36"/>
        </w:rPr>
      </w:pPr>
      <w:r w:rsidRPr="007F07E5">
        <w:rPr>
          <w:b/>
          <w:sz w:val="48"/>
          <w:szCs w:val="48"/>
        </w:rPr>
        <w:t xml:space="preserve">SCBF </w:t>
      </w:r>
      <w:r w:rsidR="002B49CA" w:rsidRPr="007F07E5">
        <w:rPr>
          <w:b/>
          <w:sz w:val="48"/>
          <w:szCs w:val="48"/>
        </w:rPr>
        <w:t>I</w:t>
      </w:r>
      <w:r w:rsidRPr="007F07E5">
        <w:rPr>
          <w:b/>
          <w:sz w:val="48"/>
          <w:szCs w:val="48"/>
        </w:rPr>
        <w:t xml:space="preserve">nvestment </w:t>
      </w:r>
      <w:r w:rsidR="002B49CA" w:rsidRPr="007F07E5">
        <w:rPr>
          <w:b/>
          <w:sz w:val="48"/>
          <w:szCs w:val="48"/>
        </w:rPr>
        <w:t>P</w:t>
      </w:r>
      <w:r w:rsidRPr="007F07E5">
        <w:rPr>
          <w:b/>
          <w:sz w:val="48"/>
          <w:szCs w:val="48"/>
        </w:rPr>
        <w:t>olicy</w:t>
      </w:r>
    </w:p>
    <w:p w14:paraId="5CF04DEE" w14:textId="77777777" w:rsidR="00EE79C7" w:rsidRDefault="00EE79C7" w:rsidP="0070337D">
      <w:pPr>
        <w:jc w:val="both"/>
        <w:rPr>
          <w:sz w:val="24"/>
          <w:szCs w:val="24"/>
        </w:rPr>
      </w:pPr>
    </w:p>
    <w:p w14:paraId="23971926" w14:textId="72752935" w:rsidR="00EF6D88" w:rsidRPr="003031C4" w:rsidRDefault="007573FC" w:rsidP="0070337D">
      <w:pPr>
        <w:jc w:val="both"/>
        <w:rPr>
          <w:b/>
          <w:bCs/>
          <w:sz w:val="24"/>
          <w:szCs w:val="24"/>
        </w:rPr>
      </w:pPr>
      <w:r w:rsidRPr="003031C4">
        <w:rPr>
          <w:b/>
          <w:bCs/>
          <w:sz w:val="24"/>
          <w:szCs w:val="24"/>
        </w:rPr>
        <w:t>Introduction</w:t>
      </w:r>
    </w:p>
    <w:p w14:paraId="243AB339" w14:textId="55ED3DF5" w:rsidR="007573FC" w:rsidRDefault="00433E12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Shetland Community Benefit Fund are </w:t>
      </w:r>
      <w:r w:rsidR="00325887" w:rsidRPr="00325887">
        <w:rPr>
          <w:sz w:val="24"/>
          <w:szCs w:val="24"/>
        </w:rPr>
        <w:t xml:space="preserve">an </w:t>
      </w:r>
      <w:r w:rsidR="00B56F79" w:rsidRPr="00325887">
        <w:rPr>
          <w:sz w:val="24"/>
          <w:szCs w:val="24"/>
        </w:rPr>
        <w:t>independent</w:t>
      </w:r>
      <w:r w:rsidR="00325887" w:rsidRPr="00325887">
        <w:rPr>
          <w:sz w:val="24"/>
          <w:szCs w:val="24"/>
        </w:rPr>
        <w:t xml:space="preserve"> community interest co-operative</w:t>
      </w:r>
      <w:r w:rsidR="00B46D22">
        <w:rPr>
          <w:sz w:val="24"/>
          <w:szCs w:val="24"/>
        </w:rPr>
        <w:t xml:space="preserve"> whose purpose is</w:t>
      </w:r>
      <w:r w:rsidR="00325887" w:rsidRPr="00325887">
        <w:rPr>
          <w:sz w:val="24"/>
          <w:szCs w:val="24"/>
        </w:rPr>
        <w:t xml:space="preserve"> to negotiate and administer community benefit funding from </w:t>
      </w:r>
      <w:r w:rsidR="00B46D22">
        <w:rPr>
          <w:sz w:val="24"/>
          <w:szCs w:val="24"/>
        </w:rPr>
        <w:t xml:space="preserve">renewable energy </w:t>
      </w:r>
      <w:r w:rsidR="00325887" w:rsidRPr="00325887">
        <w:rPr>
          <w:sz w:val="24"/>
          <w:szCs w:val="24"/>
        </w:rPr>
        <w:t>developers</w:t>
      </w:r>
      <w:r w:rsidR="00B46D22">
        <w:rPr>
          <w:sz w:val="24"/>
          <w:szCs w:val="24"/>
        </w:rPr>
        <w:t>.</w:t>
      </w:r>
      <w:r w:rsidR="00327E26">
        <w:rPr>
          <w:sz w:val="24"/>
          <w:szCs w:val="24"/>
        </w:rPr>
        <w:t xml:space="preserve">  SCBF currently administrate two community benefit funds, the Viking Community Fund and the Shetland Aerogenerators Community Benefit Fund.</w:t>
      </w:r>
    </w:p>
    <w:p w14:paraId="47FAE342" w14:textId="4ECA2DFA" w:rsidR="00AB541D" w:rsidRDefault="00442935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>SCBF distributes grants of b</w:t>
      </w:r>
      <w:r w:rsidR="00A60CDF">
        <w:rPr>
          <w:sz w:val="24"/>
          <w:szCs w:val="24"/>
        </w:rPr>
        <w:t>etween £50 and £200k</w:t>
      </w:r>
      <w:r w:rsidR="00170AE9">
        <w:rPr>
          <w:sz w:val="24"/>
          <w:szCs w:val="24"/>
        </w:rPr>
        <w:t>+</w:t>
      </w:r>
      <w:r w:rsidR="00A60CDF">
        <w:rPr>
          <w:sz w:val="24"/>
          <w:szCs w:val="24"/>
        </w:rPr>
        <w:t xml:space="preserve"> </w:t>
      </w:r>
      <w:r w:rsidR="00170AE9">
        <w:rPr>
          <w:sz w:val="24"/>
          <w:szCs w:val="24"/>
        </w:rPr>
        <w:t>up to a total value of £2,225,000</w:t>
      </w:r>
      <w:r w:rsidR="006E4213">
        <w:rPr>
          <w:sz w:val="24"/>
          <w:szCs w:val="24"/>
        </w:rPr>
        <w:t xml:space="preserve"> </w:t>
      </w:r>
      <w:r w:rsidR="00B502DC">
        <w:rPr>
          <w:sz w:val="24"/>
          <w:szCs w:val="24"/>
        </w:rPr>
        <w:t xml:space="preserve">(index linked) </w:t>
      </w:r>
      <w:r w:rsidR="006E4213">
        <w:rPr>
          <w:sz w:val="24"/>
          <w:szCs w:val="24"/>
        </w:rPr>
        <w:t>per annum but this will vary year to year depending on grant making opportunities.</w:t>
      </w:r>
    </w:p>
    <w:p w14:paraId="719D981F" w14:textId="4486AEAC" w:rsidR="00414B4E" w:rsidRDefault="00414B4E" w:rsidP="0070337D">
      <w:pPr>
        <w:jc w:val="both"/>
        <w:rPr>
          <w:sz w:val="24"/>
          <w:szCs w:val="24"/>
        </w:rPr>
      </w:pPr>
      <w:r w:rsidRPr="00414B4E">
        <w:rPr>
          <w:sz w:val="24"/>
          <w:szCs w:val="24"/>
        </w:rPr>
        <w:t>It is assumed that SCBF will hold a significant amount of funds pending disbursement for at least several months with a proportion of this being held for more than a year.</w:t>
      </w:r>
    </w:p>
    <w:p w14:paraId="002F0B53" w14:textId="11887421" w:rsidR="00D02C5B" w:rsidRDefault="00D02C5B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SCBF directors have delegated decision making on investment matters to the </w:t>
      </w:r>
      <w:r w:rsidR="006A6BFA">
        <w:rPr>
          <w:sz w:val="24"/>
          <w:szCs w:val="24"/>
        </w:rPr>
        <w:t>investment committee.</w:t>
      </w:r>
      <w:r w:rsidR="005945F3">
        <w:rPr>
          <w:sz w:val="24"/>
          <w:szCs w:val="24"/>
        </w:rPr>
        <w:t xml:space="preserve">  The investment committee will comprise of the SCBF Treasurer, Fund Manager and two other directors.</w:t>
      </w:r>
      <w:r w:rsidR="00486F8A">
        <w:rPr>
          <w:sz w:val="24"/>
          <w:szCs w:val="24"/>
        </w:rPr>
        <w:t xml:space="preserve">  </w:t>
      </w:r>
    </w:p>
    <w:p w14:paraId="0FD0FD62" w14:textId="4AF1D0A1" w:rsidR="00433E12" w:rsidRPr="003031C4" w:rsidRDefault="00433E12" w:rsidP="0070337D">
      <w:pPr>
        <w:jc w:val="both"/>
        <w:rPr>
          <w:b/>
          <w:bCs/>
          <w:sz w:val="24"/>
          <w:szCs w:val="24"/>
        </w:rPr>
      </w:pPr>
      <w:r w:rsidRPr="003031C4">
        <w:rPr>
          <w:b/>
          <w:bCs/>
          <w:sz w:val="24"/>
          <w:szCs w:val="24"/>
        </w:rPr>
        <w:t>Investment Objectives</w:t>
      </w:r>
    </w:p>
    <w:p w14:paraId="5050A47B" w14:textId="5A1EFC1B" w:rsidR="000A49F5" w:rsidRPr="000A49F5" w:rsidRDefault="000A49F5" w:rsidP="000A49F5">
      <w:pPr>
        <w:jc w:val="both"/>
        <w:rPr>
          <w:sz w:val="24"/>
          <w:szCs w:val="24"/>
        </w:rPr>
      </w:pPr>
      <w:r w:rsidRPr="000A49F5">
        <w:rPr>
          <w:sz w:val="24"/>
          <w:szCs w:val="24"/>
        </w:rPr>
        <w:t xml:space="preserve">SCBF </w:t>
      </w:r>
      <w:r w:rsidR="00B706B2">
        <w:rPr>
          <w:sz w:val="24"/>
          <w:szCs w:val="24"/>
        </w:rPr>
        <w:t>wishes</w:t>
      </w:r>
      <w:r w:rsidRPr="000A49F5">
        <w:rPr>
          <w:sz w:val="24"/>
          <w:szCs w:val="24"/>
        </w:rPr>
        <w:t xml:space="preserve"> to maximise the value of the fund by holding some money in interest bearing accounts, fixed rate interest bonds and /or stocks or shares or investment bonds.</w:t>
      </w:r>
    </w:p>
    <w:p w14:paraId="5548A662" w14:textId="40C2D0D6" w:rsidR="00EF6D88" w:rsidRDefault="000A49F5" w:rsidP="000A49F5">
      <w:pPr>
        <w:jc w:val="both"/>
        <w:rPr>
          <w:sz w:val="24"/>
          <w:szCs w:val="24"/>
        </w:rPr>
      </w:pPr>
      <w:r w:rsidRPr="000A49F5">
        <w:rPr>
          <w:sz w:val="24"/>
          <w:szCs w:val="24"/>
        </w:rPr>
        <w:t>The aim of the investment would be for growth rather than income.</w:t>
      </w:r>
    </w:p>
    <w:p w14:paraId="431F125C" w14:textId="3532CA68" w:rsidR="006F34A6" w:rsidRPr="003031C4" w:rsidRDefault="006F34A6" w:rsidP="0070337D">
      <w:pPr>
        <w:jc w:val="both"/>
        <w:rPr>
          <w:b/>
          <w:bCs/>
          <w:sz w:val="24"/>
          <w:szCs w:val="24"/>
        </w:rPr>
      </w:pPr>
      <w:r w:rsidRPr="003031C4">
        <w:rPr>
          <w:b/>
          <w:bCs/>
          <w:sz w:val="24"/>
          <w:szCs w:val="24"/>
        </w:rPr>
        <w:t>Liquidity Requirements</w:t>
      </w:r>
    </w:p>
    <w:p w14:paraId="10B24E6C" w14:textId="0BA8978C" w:rsidR="006F34A6" w:rsidRDefault="006F34A6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>SCBF must maintain sufficient liquidity of funds to meet payment obligations when requested.</w:t>
      </w:r>
    </w:p>
    <w:p w14:paraId="7B0DD96B" w14:textId="6B79D470" w:rsidR="001B6A67" w:rsidRDefault="00B706B2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SCBF </w:t>
      </w:r>
      <w:r w:rsidR="001B6A67">
        <w:rPr>
          <w:sz w:val="24"/>
          <w:szCs w:val="24"/>
        </w:rPr>
        <w:t>Directors</w:t>
      </w:r>
      <w:r>
        <w:rPr>
          <w:sz w:val="24"/>
          <w:szCs w:val="24"/>
        </w:rPr>
        <w:t xml:space="preserve"> have agreed</w:t>
      </w:r>
      <w:r w:rsidR="001B6A67">
        <w:rPr>
          <w:sz w:val="24"/>
          <w:szCs w:val="24"/>
        </w:rPr>
        <w:t xml:space="preserve"> to keep at least 50%</w:t>
      </w:r>
      <w:r w:rsidR="007D0939">
        <w:rPr>
          <w:sz w:val="24"/>
          <w:szCs w:val="24"/>
        </w:rPr>
        <w:t xml:space="preserve"> of funds in investments that can be realised within 3 months</w:t>
      </w:r>
      <w:r w:rsidR="00A92580">
        <w:rPr>
          <w:sz w:val="24"/>
          <w:szCs w:val="24"/>
        </w:rPr>
        <w:t>.</w:t>
      </w:r>
    </w:p>
    <w:p w14:paraId="07287FDB" w14:textId="6148F16C" w:rsidR="00EC1501" w:rsidRPr="003031C4" w:rsidRDefault="00EC1501" w:rsidP="0070337D">
      <w:pPr>
        <w:jc w:val="both"/>
        <w:rPr>
          <w:b/>
          <w:bCs/>
          <w:sz w:val="24"/>
          <w:szCs w:val="24"/>
        </w:rPr>
      </w:pPr>
      <w:r w:rsidRPr="003031C4">
        <w:rPr>
          <w:b/>
          <w:bCs/>
          <w:sz w:val="24"/>
          <w:szCs w:val="24"/>
        </w:rPr>
        <w:t>Ethical Investment policy</w:t>
      </w:r>
    </w:p>
    <w:p w14:paraId="1012F930" w14:textId="77777777" w:rsidR="00EC1501" w:rsidRDefault="00EC1501" w:rsidP="00EC1501">
      <w:pPr>
        <w:jc w:val="both"/>
        <w:rPr>
          <w:sz w:val="24"/>
          <w:szCs w:val="24"/>
        </w:rPr>
      </w:pPr>
      <w:r>
        <w:rPr>
          <w:sz w:val="24"/>
          <w:szCs w:val="24"/>
        </w:rPr>
        <w:t>The SCBF should choose to invest with a positive ethical choice favouring;</w:t>
      </w:r>
    </w:p>
    <w:p w14:paraId="42EE5844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Environmental benefit</w:t>
      </w:r>
    </w:p>
    <w:p w14:paraId="4CBCFA86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Societal benefit</w:t>
      </w:r>
    </w:p>
    <w:p w14:paraId="08E3CE02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Companies paying at or above the real living wage.</w:t>
      </w:r>
    </w:p>
    <w:p w14:paraId="2662E8B6" w14:textId="77777777" w:rsidR="00EC1501" w:rsidRPr="00982D54" w:rsidRDefault="00EC1501" w:rsidP="00EC1501">
      <w:pPr>
        <w:jc w:val="both"/>
        <w:rPr>
          <w:sz w:val="24"/>
          <w:szCs w:val="24"/>
        </w:rPr>
      </w:pPr>
      <w:r w:rsidRPr="00982D54">
        <w:rPr>
          <w:sz w:val="24"/>
          <w:szCs w:val="24"/>
        </w:rPr>
        <w:t xml:space="preserve">SCBF should avoid investment in: </w:t>
      </w:r>
    </w:p>
    <w:p w14:paraId="3B865A9F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Armaments</w:t>
      </w:r>
    </w:p>
    <w:p w14:paraId="2C4F4AB3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Alcohol and tobacco</w:t>
      </w:r>
    </w:p>
    <w:p w14:paraId="78F16CB2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Gambling</w:t>
      </w:r>
    </w:p>
    <w:p w14:paraId="60E3E74B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Fossil fuels</w:t>
      </w:r>
    </w:p>
    <w:p w14:paraId="222D0130" w14:textId="77777777" w:rsidR="00EC1501" w:rsidRPr="004452CF" w:rsidRDefault="00EC1501" w:rsidP="00EC15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lastRenderedPageBreak/>
        <w:t>Companies with poor employment welfare</w:t>
      </w:r>
    </w:p>
    <w:p w14:paraId="35CAF5A9" w14:textId="57F1E100" w:rsidR="00EC1501" w:rsidRPr="00B502DC" w:rsidRDefault="00EC1501" w:rsidP="007033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52CF">
        <w:rPr>
          <w:sz w:val="24"/>
          <w:szCs w:val="24"/>
        </w:rPr>
        <w:t>Companies with poor environmental records.</w:t>
      </w:r>
    </w:p>
    <w:p w14:paraId="30F24958" w14:textId="42D5F7A5" w:rsidR="00CD1F7B" w:rsidRPr="005945F3" w:rsidDel="000A49F5" w:rsidRDefault="00CD1F7B" w:rsidP="002412CE">
      <w:pPr>
        <w:tabs>
          <w:tab w:val="left" w:pos="4464"/>
        </w:tabs>
        <w:jc w:val="both"/>
        <w:rPr>
          <w:b/>
          <w:bCs/>
          <w:sz w:val="24"/>
          <w:szCs w:val="24"/>
        </w:rPr>
      </w:pPr>
      <w:r w:rsidRPr="003031C4">
        <w:rPr>
          <w:b/>
          <w:bCs/>
          <w:sz w:val="24"/>
          <w:szCs w:val="24"/>
        </w:rPr>
        <w:t>Management, Reporting and Monitoring</w:t>
      </w:r>
      <w:r w:rsidR="002412CE" w:rsidRPr="00595445">
        <w:rPr>
          <w:sz w:val="24"/>
          <w:szCs w:val="24"/>
        </w:rPr>
        <w:tab/>
      </w:r>
    </w:p>
    <w:p w14:paraId="48F5F4AF" w14:textId="1FC9AF7F" w:rsidR="003E624E" w:rsidRDefault="00B706B2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>Following examination of proposals from three suitably qualified companies SCBF have appointed a</w:t>
      </w:r>
      <w:r w:rsidR="003E624E" w:rsidRPr="004B7F60">
        <w:rPr>
          <w:sz w:val="24"/>
          <w:szCs w:val="24"/>
        </w:rPr>
        <w:t>n Independent Financial Adviser</w:t>
      </w:r>
      <w:r w:rsidR="00297A36">
        <w:rPr>
          <w:sz w:val="24"/>
          <w:szCs w:val="24"/>
        </w:rPr>
        <w:t xml:space="preserve"> (IFA)</w:t>
      </w:r>
      <w:r>
        <w:rPr>
          <w:sz w:val="24"/>
          <w:szCs w:val="24"/>
        </w:rPr>
        <w:t xml:space="preserve"> to advise on long-term investment choices.</w:t>
      </w:r>
      <w:r w:rsidR="003E624E" w:rsidRPr="004B7F60">
        <w:rPr>
          <w:sz w:val="24"/>
          <w:szCs w:val="24"/>
        </w:rPr>
        <w:t xml:space="preserve"> </w:t>
      </w:r>
    </w:p>
    <w:p w14:paraId="2703C92C" w14:textId="41FE0385" w:rsidR="00C010C7" w:rsidRDefault="00C010C7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>A r</w:t>
      </w:r>
      <w:r w:rsidRPr="004B7F60">
        <w:rPr>
          <w:sz w:val="24"/>
          <w:szCs w:val="24"/>
        </w:rPr>
        <w:t xml:space="preserve">eview of this </w:t>
      </w:r>
      <w:r w:rsidR="00B706B2">
        <w:rPr>
          <w:sz w:val="24"/>
          <w:szCs w:val="24"/>
        </w:rPr>
        <w:t>appointment</w:t>
      </w:r>
      <w:r w:rsidRPr="004B7F60">
        <w:rPr>
          <w:sz w:val="24"/>
          <w:szCs w:val="24"/>
        </w:rPr>
        <w:t xml:space="preserve"> w</w:t>
      </w:r>
      <w:r>
        <w:rPr>
          <w:sz w:val="24"/>
          <w:szCs w:val="24"/>
        </w:rPr>
        <w:t>ill</w:t>
      </w:r>
      <w:r w:rsidRPr="004B7F60">
        <w:rPr>
          <w:sz w:val="24"/>
          <w:szCs w:val="24"/>
        </w:rPr>
        <w:t xml:space="preserve"> be made every 5 years by </w:t>
      </w:r>
      <w:r>
        <w:rPr>
          <w:sz w:val="24"/>
          <w:szCs w:val="24"/>
        </w:rPr>
        <w:t xml:space="preserve">SCBF officers </w:t>
      </w:r>
      <w:r w:rsidRPr="004B7F60">
        <w:rPr>
          <w:sz w:val="24"/>
          <w:szCs w:val="24"/>
        </w:rPr>
        <w:t xml:space="preserve">or at any other time if major material changes </w:t>
      </w:r>
      <w:r w:rsidR="00595445" w:rsidRPr="004B7F60">
        <w:rPr>
          <w:sz w:val="24"/>
          <w:szCs w:val="24"/>
        </w:rPr>
        <w:t>occur</w:t>
      </w:r>
      <w:r w:rsidRPr="004B7F60">
        <w:rPr>
          <w:sz w:val="24"/>
          <w:szCs w:val="24"/>
        </w:rPr>
        <w:t xml:space="preserve"> with either party.</w:t>
      </w:r>
    </w:p>
    <w:p w14:paraId="2879FCCD" w14:textId="35A09FAB" w:rsidR="0041509C" w:rsidRDefault="004A3D38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4A3D38">
        <w:rPr>
          <w:sz w:val="24"/>
          <w:szCs w:val="24"/>
        </w:rPr>
        <w:t xml:space="preserve">nvestment decisions </w:t>
      </w:r>
      <w:r w:rsidR="00BD4A58">
        <w:rPr>
          <w:sz w:val="24"/>
          <w:szCs w:val="24"/>
        </w:rPr>
        <w:t>will be</w:t>
      </w:r>
      <w:r w:rsidRPr="004A3D38">
        <w:rPr>
          <w:sz w:val="24"/>
          <w:szCs w:val="24"/>
        </w:rPr>
        <w:t xml:space="preserve"> made </w:t>
      </w:r>
      <w:r>
        <w:rPr>
          <w:sz w:val="24"/>
          <w:szCs w:val="24"/>
        </w:rPr>
        <w:t xml:space="preserve">by the investment committee </w:t>
      </w:r>
      <w:r w:rsidRPr="004A3D38">
        <w:rPr>
          <w:sz w:val="24"/>
          <w:szCs w:val="24"/>
        </w:rPr>
        <w:t xml:space="preserve">when required using online discussion and </w:t>
      </w:r>
      <w:r w:rsidR="00B706B2">
        <w:rPr>
          <w:sz w:val="24"/>
          <w:szCs w:val="24"/>
        </w:rPr>
        <w:t xml:space="preserve">the </w:t>
      </w:r>
      <w:r w:rsidRPr="004A3D38">
        <w:rPr>
          <w:sz w:val="24"/>
          <w:szCs w:val="24"/>
        </w:rPr>
        <w:t xml:space="preserve">recommendation of the </w:t>
      </w:r>
      <w:r w:rsidR="00B706B2">
        <w:rPr>
          <w:sz w:val="24"/>
          <w:szCs w:val="24"/>
        </w:rPr>
        <w:t>IFA</w:t>
      </w:r>
      <w:r w:rsidRPr="004A3D38">
        <w:rPr>
          <w:sz w:val="24"/>
          <w:szCs w:val="24"/>
        </w:rPr>
        <w:t>.</w:t>
      </w:r>
    </w:p>
    <w:p w14:paraId="232A0BD3" w14:textId="544B6D52" w:rsidR="00E316E5" w:rsidRDefault="00E316E5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SCBF currently operates a cash management platform </w:t>
      </w:r>
      <w:r w:rsidR="0062275B">
        <w:rPr>
          <w:sz w:val="24"/>
          <w:szCs w:val="24"/>
        </w:rPr>
        <w:t>which acts as a hub</w:t>
      </w:r>
      <w:r w:rsidR="00D47D10">
        <w:rPr>
          <w:sz w:val="24"/>
          <w:szCs w:val="24"/>
        </w:rPr>
        <w:t xml:space="preserve"> with a variety of savings accounts within one platform.</w:t>
      </w:r>
      <w:r w:rsidR="00D47D10" w:rsidRPr="00D47D10">
        <w:rPr>
          <w:sz w:val="24"/>
          <w:szCs w:val="24"/>
        </w:rPr>
        <w:t xml:space="preserve"> </w:t>
      </w:r>
      <w:r w:rsidR="00D47D10">
        <w:rPr>
          <w:sz w:val="24"/>
          <w:szCs w:val="24"/>
        </w:rPr>
        <w:t xml:space="preserve">The aim is to hold no more than £85,000 in any </w:t>
      </w:r>
      <w:r w:rsidR="00236A66">
        <w:rPr>
          <w:sz w:val="24"/>
          <w:szCs w:val="24"/>
        </w:rPr>
        <w:t xml:space="preserve">of these </w:t>
      </w:r>
      <w:r w:rsidR="00181B32">
        <w:rPr>
          <w:sz w:val="24"/>
          <w:szCs w:val="24"/>
        </w:rPr>
        <w:t>savings’</w:t>
      </w:r>
      <w:r w:rsidR="00D47D10">
        <w:rPr>
          <w:sz w:val="24"/>
          <w:szCs w:val="24"/>
        </w:rPr>
        <w:t xml:space="preserve"> account to ensure financial protection of funds.</w:t>
      </w:r>
    </w:p>
    <w:p w14:paraId="6422816B" w14:textId="19785541" w:rsidR="00B71F29" w:rsidRDefault="00B71F29" w:rsidP="00B71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funds held in savings accounts, </w:t>
      </w:r>
      <w:r w:rsidR="00BD4A58">
        <w:rPr>
          <w:sz w:val="24"/>
          <w:szCs w:val="24"/>
        </w:rPr>
        <w:t>Fund Manager</w:t>
      </w:r>
      <w:r>
        <w:rPr>
          <w:sz w:val="24"/>
          <w:szCs w:val="24"/>
        </w:rPr>
        <w:t xml:space="preserve"> and </w:t>
      </w:r>
      <w:r w:rsidR="00DF28F2">
        <w:rPr>
          <w:sz w:val="24"/>
          <w:szCs w:val="24"/>
        </w:rPr>
        <w:t xml:space="preserve">the </w:t>
      </w:r>
      <w:r>
        <w:rPr>
          <w:sz w:val="24"/>
          <w:szCs w:val="24"/>
        </w:rPr>
        <w:t>treasurer w</w:t>
      </w:r>
      <w:r w:rsidR="00DF28F2">
        <w:rPr>
          <w:sz w:val="24"/>
          <w:szCs w:val="24"/>
        </w:rPr>
        <w:t>ill</w:t>
      </w:r>
      <w:r>
        <w:rPr>
          <w:sz w:val="24"/>
          <w:szCs w:val="24"/>
        </w:rPr>
        <w:t xml:space="preserve"> move money between accounts to maintain a working balance in the current account. </w:t>
      </w:r>
    </w:p>
    <w:p w14:paraId="177239AD" w14:textId="22B2750C" w:rsidR="00722AEF" w:rsidRDefault="00B71F29" w:rsidP="00722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funds invested in stocks, shares and bonds </w:t>
      </w:r>
      <w:r w:rsidR="00DF28F2">
        <w:rPr>
          <w:sz w:val="24"/>
          <w:szCs w:val="24"/>
        </w:rPr>
        <w:t>the</w:t>
      </w:r>
      <w:r>
        <w:rPr>
          <w:sz w:val="24"/>
          <w:szCs w:val="24"/>
        </w:rPr>
        <w:t xml:space="preserve"> Independent Financial Advisor would liaise with the companies holding SCBFs investments</w:t>
      </w:r>
      <w:r w:rsidR="00722AEF">
        <w:rPr>
          <w:sz w:val="24"/>
          <w:szCs w:val="24"/>
        </w:rPr>
        <w:t xml:space="preserve">, perform an annual check of performance of the funds and prepare a report for the SCBF </w:t>
      </w:r>
      <w:r w:rsidR="00B706B2">
        <w:rPr>
          <w:sz w:val="24"/>
          <w:szCs w:val="24"/>
        </w:rPr>
        <w:t>Directors</w:t>
      </w:r>
      <w:r w:rsidR="00722AEF">
        <w:rPr>
          <w:sz w:val="24"/>
          <w:szCs w:val="24"/>
        </w:rPr>
        <w:t>.</w:t>
      </w:r>
    </w:p>
    <w:p w14:paraId="62718C26" w14:textId="1539A8E0" w:rsidR="00297A36" w:rsidRDefault="007A4513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Independent </w:t>
      </w:r>
      <w:r w:rsidR="00297A36">
        <w:rPr>
          <w:sz w:val="24"/>
          <w:szCs w:val="24"/>
        </w:rPr>
        <w:t>F</w:t>
      </w:r>
      <w:r>
        <w:rPr>
          <w:sz w:val="24"/>
          <w:szCs w:val="24"/>
        </w:rPr>
        <w:t xml:space="preserve">inancial </w:t>
      </w:r>
      <w:r w:rsidR="00297A36">
        <w:rPr>
          <w:sz w:val="24"/>
          <w:szCs w:val="24"/>
        </w:rPr>
        <w:t>A</w:t>
      </w:r>
      <w:r>
        <w:rPr>
          <w:sz w:val="24"/>
          <w:szCs w:val="24"/>
        </w:rPr>
        <w:t>dvisor</w:t>
      </w:r>
      <w:r w:rsidR="00297A36">
        <w:rPr>
          <w:sz w:val="24"/>
          <w:szCs w:val="24"/>
        </w:rPr>
        <w:t>’s carry out due diligence on investors</w:t>
      </w:r>
      <w:r w:rsidR="00297A36">
        <w:t xml:space="preserve">, </w:t>
      </w:r>
      <w:r w:rsidR="00297A36" w:rsidRPr="00F81EF3">
        <w:rPr>
          <w:sz w:val="24"/>
          <w:szCs w:val="24"/>
        </w:rPr>
        <w:t>routinely trade in investments</w:t>
      </w:r>
      <w:r w:rsidR="00297A36">
        <w:rPr>
          <w:sz w:val="24"/>
          <w:szCs w:val="24"/>
        </w:rPr>
        <w:t xml:space="preserve"> and can secure preferential rates. SCBF aim to optimise the most efficient saving options balancing need for timely access, low risk of loss and growth of funds.</w:t>
      </w:r>
    </w:p>
    <w:p w14:paraId="56C0656C" w14:textId="77777777" w:rsidR="00E16605" w:rsidRDefault="00E16605" w:rsidP="0070337D">
      <w:pPr>
        <w:jc w:val="both"/>
        <w:rPr>
          <w:sz w:val="24"/>
          <w:szCs w:val="24"/>
        </w:rPr>
      </w:pPr>
    </w:p>
    <w:p w14:paraId="56C06572" w14:textId="0CF6EA62" w:rsidR="00290686" w:rsidRDefault="00E16605" w:rsidP="00703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policy </w:t>
      </w:r>
      <w:r w:rsidR="00FD525A">
        <w:rPr>
          <w:sz w:val="24"/>
          <w:szCs w:val="24"/>
        </w:rPr>
        <w:t>will</w:t>
      </w:r>
      <w:r>
        <w:rPr>
          <w:sz w:val="24"/>
          <w:szCs w:val="24"/>
        </w:rPr>
        <w:t xml:space="preserve"> be reviewed annually by the audit and governance committee of the SCBF</w:t>
      </w:r>
      <w:r w:rsidR="0070337D">
        <w:rPr>
          <w:sz w:val="24"/>
          <w:szCs w:val="24"/>
        </w:rPr>
        <w:t>.</w:t>
      </w:r>
    </w:p>
    <w:p w14:paraId="7ACBBD8F" w14:textId="77777777" w:rsidR="00F45344" w:rsidRDefault="00F45344" w:rsidP="0070337D">
      <w:pPr>
        <w:jc w:val="both"/>
        <w:rPr>
          <w:sz w:val="24"/>
          <w:szCs w:val="24"/>
        </w:rPr>
      </w:pPr>
    </w:p>
    <w:p w14:paraId="395DF22D" w14:textId="0EE5EDAE" w:rsidR="00982D54" w:rsidRDefault="00982D54" w:rsidP="00F453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Date Issued –</w:t>
      </w:r>
      <w:r w:rsidR="009D1E9C">
        <w:rPr>
          <w:sz w:val="24"/>
          <w:szCs w:val="24"/>
        </w:rPr>
        <w:t xml:space="preserve"> June</w:t>
      </w:r>
      <w:r w:rsidR="00F45344">
        <w:rPr>
          <w:sz w:val="24"/>
          <w:szCs w:val="24"/>
        </w:rPr>
        <w:t xml:space="preserve"> 202</w:t>
      </w:r>
      <w:r w:rsidR="00531175">
        <w:rPr>
          <w:sz w:val="24"/>
          <w:szCs w:val="24"/>
        </w:rPr>
        <w:t>5</w:t>
      </w:r>
    </w:p>
    <w:p w14:paraId="28A08093" w14:textId="25DBF737" w:rsidR="00982D54" w:rsidRDefault="00982D54" w:rsidP="00F453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Review date </w:t>
      </w:r>
      <w:r w:rsidR="007B00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D1E9C">
        <w:rPr>
          <w:sz w:val="24"/>
          <w:szCs w:val="24"/>
        </w:rPr>
        <w:t>June</w:t>
      </w:r>
      <w:r w:rsidR="00F45344">
        <w:rPr>
          <w:sz w:val="24"/>
          <w:szCs w:val="24"/>
        </w:rPr>
        <w:t xml:space="preserve"> 202</w:t>
      </w:r>
      <w:r w:rsidR="00531175">
        <w:rPr>
          <w:sz w:val="24"/>
          <w:szCs w:val="24"/>
        </w:rPr>
        <w:t>6</w:t>
      </w:r>
    </w:p>
    <w:p w14:paraId="73B1EE62" w14:textId="77777777" w:rsidR="007B00AB" w:rsidRPr="000E3A55" w:rsidRDefault="007B00AB" w:rsidP="0070337D">
      <w:pPr>
        <w:jc w:val="both"/>
        <w:rPr>
          <w:sz w:val="24"/>
          <w:szCs w:val="24"/>
        </w:rPr>
      </w:pPr>
    </w:p>
    <w:sectPr w:rsidR="007B00AB" w:rsidRPr="000E3A55" w:rsidSect="00F05ADC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7DFF" w14:textId="77777777" w:rsidR="00C67667" w:rsidRDefault="00C67667" w:rsidP="00EE79C7">
      <w:pPr>
        <w:spacing w:after="0" w:line="240" w:lineRule="auto"/>
      </w:pPr>
      <w:r>
        <w:separator/>
      </w:r>
    </w:p>
  </w:endnote>
  <w:endnote w:type="continuationSeparator" w:id="0">
    <w:p w14:paraId="43C26C55" w14:textId="77777777" w:rsidR="00C67667" w:rsidRDefault="00C67667" w:rsidP="00EE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3E51" w14:textId="2135B27E" w:rsidR="00AA3652" w:rsidRPr="004452CF" w:rsidRDefault="00AA3652" w:rsidP="007F07E5">
    <w:pPr>
      <w:pStyle w:val="Footer"/>
      <w:pBdr>
        <w:top w:val="single" w:sz="4" w:space="1" w:color="auto"/>
      </w:pBdr>
      <w:rPr>
        <w:rFonts w:ascii="Arial" w:hAnsi="Arial" w:cs="Arial"/>
      </w:rPr>
    </w:pPr>
    <w:r w:rsidRPr="004452CF">
      <w:rPr>
        <w:rFonts w:ascii="Arial" w:hAnsi="Arial" w:cs="Arial"/>
      </w:rPr>
      <w:t>SCBF Investment Policy</w:t>
    </w:r>
    <w:r w:rsidRPr="004452CF">
      <w:rPr>
        <w:rFonts w:ascii="Arial" w:hAnsi="Arial" w:cs="Arial"/>
      </w:rPr>
      <w:tab/>
    </w:r>
    <w:r w:rsidRPr="004452CF">
      <w:rPr>
        <w:rFonts w:ascii="Arial" w:hAnsi="Arial" w:cs="Arial"/>
      </w:rPr>
      <w:tab/>
      <w:t>Page</w:t>
    </w:r>
    <w:r w:rsidR="004452CF" w:rsidRPr="004452CF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17608641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452CF">
          <w:rPr>
            <w:rFonts w:ascii="Arial" w:hAnsi="Arial" w:cs="Arial"/>
          </w:rPr>
          <w:fldChar w:fldCharType="begin"/>
        </w:r>
        <w:r w:rsidRPr="004452CF">
          <w:rPr>
            <w:rFonts w:ascii="Arial" w:hAnsi="Arial" w:cs="Arial"/>
          </w:rPr>
          <w:instrText xml:space="preserve"> PAGE   \* MERGEFORMAT </w:instrText>
        </w:r>
        <w:r w:rsidRPr="004452CF">
          <w:rPr>
            <w:rFonts w:ascii="Arial" w:hAnsi="Arial" w:cs="Arial"/>
          </w:rPr>
          <w:fldChar w:fldCharType="separate"/>
        </w:r>
        <w:r w:rsidR="00BD4A58">
          <w:rPr>
            <w:rFonts w:ascii="Arial" w:hAnsi="Arial" w:cs="Arial"/>
            <w:noProof/>
          </w:rPr>
          <w:t>2</w:t>
        </w:r>
        <w:r w:rsidRPr="004452CF">
          <w:rPr>
            <w:rFonts w:ascii="Arial" w:hAnsi="Arial" w:cs="Arial"/>
            <w:noProof/>
          </w:rPr>
          <w:fldChar w:fldCharType="end"/>
        </w:r>
      </w:sdtContent>
    </w:sdt>
  </w:p>
  <w:p w14:paraId="0A80EE6E" w14:textId="6EDC4B96" w:rsidR="00A80EDA" w:rsidRPr="004452CF" w:rsidRDefault="00F45344">
    <w:pPr>
      <w:rPr>
        <w:rFonts w:ascii="Arial" w:hAnsi="Arial" w:cs="Arial"/>
      </w:rPr>
    </w:pPr>
    <w:r>
      <w:rPr>
        <w:rFonts w:ascii="Arial" w:hAnsi="Arial" w:cs="Arial"/>
      </w:rPr>
      <w:t>V</w:t>
    </w:r>
    <w:r w:rsidR="008277C4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88E2" w14:textId="77777777" w:rsidR="00C67667" w:rsidRDefault="00C67667" w:rsidP="00EE79C7">
      <w:pPr>
        <w:spacing w:after="0" w:line="240" w:lineRule="auto"/>
      </w:pPr>
      <w:r>
        <w:separator/>
      </w:r>
    </w:p>
  </w:footnote>
  <w:footnote w:type="continuationSeparator" w:id="0">
    <w:p w14:paraId="3E6B4A05" w14:textId="77777777" w:rsidR="00C67667" w:rsidRDefault="00C67667" w:rsidP="00EE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E77E0"/>
    <w:multiLevelType w:val="hybridMultilevel"/>
    <w:tmpl w:val="4582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55"/>
    <w:rsid w:val="00041483"/>
    <w:rsid w:val="0005203A"/>
    <w:rsid w:val="000640B9"/>
    <w:rsid w:val="000971DC"/>
    <w:rsid w:val="000A49F5"/>
    <w:rsid w:val="000E3A55"/>
    <w:rsid w:val="0014329F"/>
    <w:rsid w:val="00166D92"/>
    <w:rsid w:val="00170AE9"/>
    <w:rsid w:val="00181B32"/>
    <w:rsid w:val="001B6A67"/>
    <w:rsid w:val="001F0271"/>
    <w:rsid w:val="002169CD"/>
    <w:rsid w:val="00236A66"/>
    <w:rsid w:val="002412CE"/>
    <w:rsid w:val="0025379F"/>
    <w:rsid w:val="00290686"/>
    <w:rsid w:val="00297A36"/>
    <w:rsid w:val="002B49CA"/>
    <w:rsid w:val="002C5794"/>
    <w:rsid w:val="003031C4"/>
    <w:rsid w:val="00325887"/>
    <w:rsid w:val="00327E26"/>
    <w:rsid w:val="00334069"/>
    <w:rsid w:val="00362915"/>
    <w:rsid w:val="0036598C"/>
    <w:rsid w:val="003A1C62"/>
    <w:rsid w:val="003A495B"/>
    <w:rsid w:val="003E624E"/>
    <w:rsid w:val="00414B4E"/>
    <w:rsid w:val="0041509C"/>
    <w:rsid w:val="00431B79"/>
    <w:rsid w:val="00433E12"/>
    <w:rsid w:val="00440DC3"/>
    <w:rsid w:val="00442935"/>
    <w:rsid w:val="004452CF"/>
    <w:rsid w:val="0045438B"/>
    <w:rsid w:val="0048484E"/>
    <w:rsid w:val="00486F8A"/>
    <w:rsid w:val="004A3D38"/>
    <w:rsid w:val="004B7F60"/>
    <w:rsid w:val="00531175"/>
    <w:rsid w:val="00553F12"/>
    <w:rsid w:val="00555C35"/>
    <w:rsid w:val="00573B38"/>
    <w:rsid w:val="00581D1E"/>
    <w:rsid w:val="005945F3"/>
    <w:rsid w:val="00595445"/>
    <w:rsid w:val="005C32D6"/>
    <w:rsid w:val="005C5648"/>
    <w:rsid w:val="0062275B"/>
    <w:rsid w:val="006555DC"/>
    <w:rsid w:val="006A6BFA"/>
    <w:rsid w:val="006E4213"/>
    <w:rsid w:val="006F34A6"/>
    <w:rsid w:val="0070337D"/>
    <w:rsid w:val="00722AEF"/>
    <w:rsid w:val="007375E7"/>
    <w:rsid w:val="00746DEB"/>
    <w:rsid w:val="007573FC"/>
    <w:rsid w:val="007927DC"/>
    <w:rsid w:val="00794B5C"/>
    <w:rsid w:val="007A3007"/>
    <w:rsid w:val="007A4513"/>
    <w:rsid w:val="007B00AB"/>
    <w:rsid w:val="007D0939"/>
    <w:rsid w:val="007F07E5"/>
    <w:rsid w:val="007F5172"/>
    <w:rsid w:val="008277C4"/>
    <w:rsid w:val="0086186A"/>
    <w:rsid w:val="008B7CA8"/>
    <w:rsid w:val="008D659B"/>
    <w:rsid w:val="00920D33"/>
    <w:rsid w:val="00931C75"/>
    <w:rsid w:val="00932C59"/>
    <w:rsid w:val="00982D54"/>
    <w:rsid w:val="0099358D"/>
    <w:rsid w:val="009B3A3D"/>
    <w:rsid w:val="009D1E9C"/>
    <w:rsid w:val="009E63BB"/>
    <w:rsid w:val="00A60CDF"/>
    <w:rsid w:val="00A67AA0"/>
    <w:rsid w:val="00A80EDA"/>
    <w:rsid w:val="00A92580"/>
    <w:rsid w:val="00AA3652"/>
    <w:rsid w:val="00AB541D"/>
    <w:rsid w:val="00B14D56"/>
    <w:rsid w:val="00B46D22"/>
    <w:rsid w:val="00B502DC"/>
    <w:rsid w:val="00B511CB"/>
    <w:rsid w:val="00B56F79"/>
    <w:rsid w:val="00B706B2"/>
    <w:rsid w:val="00B71F29"/>
    <w:rsid w:val="00BD4A58"/>
    <w:rsid w:val="00C010C7"/>
    <w:rsid w:val="00C15ED4"/>
    <w:rsid w:val="00C44147"/>
    <w:rsid w:val="00C66CE2"/>
    <w:rsid w:val="00C67667"/>
    <w:rsid w:val="00CD1F7B"/>
    <w:rsid w:val="00D02C5B"/>
    <w:rsid w:val="00D12CF2"/>
    <w:rsid w:val="00D33267"/>
    <w:rsid w:val="00D47D10"/>
    <w:rsid w:val="00DA2FBD"/>
    <w:rsid w:val="00DB6A11"/>
    <w:rsid w:val="00DD1958"/>
    <w:rsid w:val="00DF28F2"/>
    <w:rsid w:val="00E04CE3"/>
    <w:rsid w:val="00E16605"/>
    <w:rsid w:val="00E22C8F"/>
    <w:rsid w:val="00E316E5"/>
    <w:rsid w:val="00EA5D4E"/>
    <w:rsid w:val="00EB2DBE"/>
    <w:rsid w:val="00EC1501"/>
    <w:rsid w:val="00EE38C5"/>
    <w:rsid w:val="00EE79C7"/>
    <w:rsid w:val="00EF6D88"/>
    <w:rsid w:val="00F05ADC"/>
    <w:rsid w:val="00F45344"/>
    <w:rsid w:val="00F529B1"/>
    <w:rsid w:val="00F55AA4"/>
    <w:rsid w:val="00F814D6"/>
    <w:rsid w:val="00F81EF3"/>
    <w:rsid w:val="00F941C5"/>
    <w:rsid w:val="00FB47FD"/>
    <w:rsid w:val="00FC5B76"/>
    <w:rsid w:val="00FD525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06556"/>
  <w15:docId w15:val="{8621EE3E-3D24-4276-9DAF-9B2BBC03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C7"/>
  </w:style>
  <w:style w:type="paragraph" w:styleId="Footer">
    <w:name w:val="footer"/>
    <w:basedOn w:val="Normal"/>
    <w:link w:val="FooterChar"/>
    <w:uiPriority w:val="99"/>
    <w:unhideWhenUsed/>
    <w:rsid w:val="00EE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C7"/>
  </w:style>
  <w:style w:type="paragraph" w:styleId="ListParagraph">
    <w:name w:val="List Paragraph"/>
    <w:basedOn w:val="Normal"/>
    <w:uiPriority w:val="34"/>
    <w:qFormat/>
    <w:rsid w:val="004452CF"/>
    <w:pPr>
      <w:ind w:left="720"/>
      <w:contextualSpacing/>
    </w:pPr>
  </w:style>
  <w:style w:type="paragraph" w:styleId="Revision">
    <w:name w:val="Revision"/>
    <w:hidden/>
    <w:uiPriority w:val="99"/>
    <w:semiHidden/>
    <w:rsid w:val="009E6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3191AAF98344A35D461778B2754D" ma:contentTypeVersion="11" ma:contentTypeDescription="Create a new document." ma:contentTypeScope="" ma:versionID="b9b9bd82328927c49d59cf31f9fd302c">
  <xsd:schema xmlns:xsd="http://www.w3.org/2001/XMLSchema" xmlns:xs="http://www.w3.org/2001/XMLSchema" xmlns:p="http://schemas.microsoft.com/office/2006/metadata/properties" xmlns:ns2="a3336743-46d3-4d2f-a3f7-9bdfa47dfdd3" xmlns:ns3="646973ba-dd99-4b86-ace2-d4c7474c1c82" targetNamespace="http://schemas.microsoft.com/office/2006/metadata/properties" ma:root="true" ma:fieldsID="5d900340a8d64236cf21cc3af2d26925" ns2:_="" ns3:_="">
    <xsd:import namespace="a3336743-46d3-4d2f-a3f7-9bdfa47dfdd3"/>
    <xsd:import namespace="646973ba-dd99-4b86-ace2-d4c7474c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6743-46d3-4d2f-a3f7-9bdfa47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a411bc-53b0-4fc7-bd6e-db0bf8f1a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73ba-dd99-4b86-ace2-d4c7474c1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fd9b3-b688-49a2-8874-220059fe1260}" ma:internalName="TaxCatchAll" ma:showField="CatchAllData" ma:web="646973ba-dd99-4b86-ace2-d4c7474c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973ba-dd99-4b86-ace2-d4c7474c1c82" xsi:nil="true"/>
    <lcf76f155ced4ddcb4097134ff3c332f xmlns="a3336743-46d3-4d2f-a3f7-9bdfa47dfd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D5B58-D9F9-40D2-8524-D86F8C285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36743-46d3-4d2f-a3f7-9bdfa47dfdd3"/>
    <ds:schemaRef ds:uri="646973ba-dd99-4b86-ace2-d4c7474c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7AB7D-4546-49A6-A8FF-0BF281BBF361}">
  <ds:schemaRefs>
    <ds:schemaRef ds:uri="http://schemas.microsoft.com/office/2006/metadata/properties"/>
    <ds:schemaRef ds:uri="http://schemas.microsoft.com/office/infopath/2007/PartnerControls"/>
    <ds:schemaRef ds:uri="646973ba-dd99-4b86-ace2-d4c7474c1c82"/>
    <ds:schemaRef ds:uri="a3336743-46d3-4d2f-a3f7-9bdfa47dfdd3"/>
  </ds:schemaRefs>
</ds:datastoreItem>
</file>

<file path=customXml/itemProps3.xml><?xml version="1.0" encoding="utf-8"?>
<ds:datastoreItem xmlns:ds="http://schemas.openxmlformats.org/officeDocument/2006/customXml" ds:itemID="{B779B29E-7101-4AE8-B3D8-57DEBA937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Brown</dc:creator>
  <cp:keywords/>
  <dc:description/>
  <cp:lastModifiedBy>Eleanor Gear</cp:lastModifiedBy>
  <cp:revision>3</cp:revision>
  <dcterms:created xsi:type="dcterms:W3CDTF">2025-05-12T06:36:00Z</dcterms:created>
  <dcterms:modified xsi:type="dcterms:W3CDTF">2025-06-16T08:33:00Z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0x01010001933191AAF98344A35D461778B2754D</vt:lpwstr>
  </property>
  <property fmtid="{D5CDD505-2E9C-101B-9397-08002B2CF9AE}" pid="3" name="MediaServiceImageTags">
    <vt:lpwstr/>
  </property>
</Properties>
</file>